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1908810</wp:posOffset>
                </wp:positionV>
                <wp:extent cx="3729991" cy="16344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91" cy="163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99CC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293.7pt;height:128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99CCFF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-833119</wp:posOffset>
                </wp:positionH>
                <wp:positionV relativeFrom="line">
                  <wp:posOffset>3771900</wp:posOffset>
                </wp:positionV>
                <wp:extent cx="7077710" cy="28517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2851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99CC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57.3pt;height:224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99CCFF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line">
                  <wp:posOffset>8871584</wp:posOffset>
                </wp:positionV>
                <wp:extent cx="7035166" cy="9886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6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99CC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554.0pt;height:77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99CCFF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-833119</wp:posOffset>
                </wp:positionH>
                <wp:positionV relativeFrom="line">
                  <wp:posOffset>6814184</wp:posOffset>
                </wp:positionV>
                <wp:extent cx="7077710" cy="196596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19659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99CC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557.3pt;height:15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99CCFF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-759866</wp:posOffset>
                </wp:positionH>
                <wp:positionV relativeFrom="line">
                  <wp:posOffset>8780144</wp:posOffset>
                </wp:positionV>
                <wp:extent cx="6891835" cy="10248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835" cy="1024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widowControl w:val="0"/>
                              <w:tabs>
                                <w:tab w:val="left" w:pos="360"/>
                              </w:tabs>
                              <w:jc w:val="both"/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Основной текст A"/>
                              <w:widowControl w:val="0"/>
                              <w:spacing w:after="0"/>
                              <w:ind w:firstLine="709"/>
                              <w:jc w:val="both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1.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Осинская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Ю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.,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Петров С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С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.,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Покоев А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Влияние частоты импульсного магнитного поля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температуры и времени старения на магнитопластический </w:t>
                            </w:r>
                            <w:r>
                              <w:rPr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эффект в бериллиевой бронзе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БрБ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-2 //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Известия</w:t>
                            </w:r>
                            <w:r>
                              <w:rPr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Самарского</w:t>
                            </w:r>
                            <w:r>
                              <w:rPr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научного</w:t>
                            </w:r>
                            <w:r>
                              <w:rPr>
                                <w:outline w:val="0"/>
                                <w:color w:val="000000"/>
                                <w:spacing w:val="-11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центра</w:t>
                            </w:r>
                            <w:r>
                              <w:rPr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Российской</w:t>
                            </w:r>
                            <w:r>
                              <w:rPr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академии</w:t>
                            </w:r>
                            <w:r>
                              <w:rPr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наук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2009.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Т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0"/>
                                <w:spacing w:val="-11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11.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– №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5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– С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56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63.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Абзац списка"/>
                              <w:spacing w:after="0" w:line="240" w:lineRule="auto"/>
                              <w:ind w:left="0" w:firstLine="709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Осинская Ю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Покоев А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 xml:space="preserve">Старение бериллиевой бронзы в импульсном магнитном поле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//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ФММ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2008.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105.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– №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>– С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 xml:space="preserve">. 385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ru-RU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ru-RU"/>
                              </w:rPr>
                              <w:t>390.</w:t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9.8pt;margin-top:691.3pt;width:542.7pt;height:80.7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widowControl w:val="0"/>
                        <w:tabs>
                          <w:tab w:val="left" w:pos="360"/>
                        </w:tabs>
                        <w:jc w:val="both"/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                </w:t>
                      </w:r>
                    </w:p>
                    <w:p>
                      <w:pPr>
                        <w:pStyle w:val="Основной текст A"/>
                        <w:widowControl w:val="0"/>
                        <w:spacing w:after="0"/>
                        <w:ind w:firstLine="709"/>
                        <w:jc w:val="both"/>
                        <w:rPr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1.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Осинская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Ю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.,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Петров С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С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.,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Покоев А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Влияние частоты импульсного магнитного поля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температуры и времени старения на магнитопластический </w:t>
                      </w:r>
                      <w:r>
                        <w:rPr>
                          <w:outline w:val="0"/>
                          <w:color w:val="000000"/>
                          <w:spacing w:val="-3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эффект в бериллиевой бронзе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БрБ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-2 //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Известия</w:t>
                      </w:r>
                      <w:r>
                        <w:rPr>
                          <w:outline w:val="0"/>
                          <w:color w:val="000000"/>
                          <w:spacing w:val="-5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Самарского</w:t>
                      </w:r>
                      <w:r>
                        <w:rPr>
                          <w:outline w:val="0"/>
                          <w:color w:val="000000"/>
                          <w:spacing w:val="-5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научного</w:t>
                      </w:r>
                      <w:r>
                        <w:rPr>
                          <w:outline w:val="0"/>
                          <w:color w:val="000000"/>
                          <w:spacing w:val="-11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центра</w:t>
                      </w:r>
                      <w:r>
                        <w:rPr>
                          <w:outline w:val="0"/>
                          <w:color w:val="000000"/>
                          <w:spacing w:val="-5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Российской</w:t>
                      </w:r>
                      <w:r>
                        <w:rPr>
                          <w:outline w:val="0"/>
                          <w:color w:val="000000"/>
                          <w:spacing w:val="-5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академии</w:t>
                      </w:r>
                      <w:r>
                        <w:rPr>
                          <w:outline w:val="0"/>
                          <w:color w:val="000000"/>
                          <w:spacing w:val="-5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наук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2009.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–</w:t>
                      </w:r>
                      <w:r>
                        <w:rPr>
                          <w:outline w:val="0"/>
                          <w:color w:val="000000"/>
                          <w:spacing w:val="-5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Т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0"/>
                          <w:spacing w:val="-11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11.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– №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5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– С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56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63.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Абзац списка"/>
                        <w:spacing w:after="0" w:line="240" w:lineRule="auto"/>
                        <w:ind w:left="0" w:firstLine="709"/>
                        <w:jc w:val="both"/>
                      </w:pP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2.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Осинская Ю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.,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Покоев А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 xml:space="preserve">Старение бериллиевой бронзы в импульсном магнитном поле 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//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ФММ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2008.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105.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– №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4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– С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. 385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390.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line">
                  <wp:posOffset>8694419</wp:posOffset>
                </wp:positionV>
                <wp:extent cx="826136" cy="2425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6" cy="242571"/>
                          <a:chOff x="0" y="0"/>
                          <a:chExt cx="826135" cy="24257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826136" cy="2425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366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 txBox="1"/>
                        <wps:spPr>
                          <a:xfrm>
                            <a:off x="56832" y="16599"/>
                            <a:ext cx="712471" cy="2093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Fonts w:ascii="Arial" w:hAnsi="Arial" w:hint="default"/>
                                  <w:outline w:val="0"/>
                                  <w:color w:val="3366ff"/>
                                  <w:sz w:val="21"/>
                                  <w:szCs w:val="21"/>
                                  <w:u w:color="3366ff"/>
                                  <w:rtl w:val="0"/>
                                  <w:lang w:val="ru-RU"/>
                                  <w14:textFill>
                                    <w14:solidFill>
                                      <w14:srgbClr w14:val="3366FF"/>
                                    </w14:solidFill>
                                  </w14:textFill>
                                </w:rPr>
                                <w:t>ССЫЛКИ</w:t>
                              </w:r>
                            </w:p>
                          </w:txbxContent>
                        </wps:txbx>
                        <wps:bodyPr wrap="square" lIns="40233" tIns="40233" rIns="40233" bIns="4023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-46.8pt;margin-top:684.6pt;width:65.1pt;height:19.1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826135,242570">
                <w10:wrap type="none" side="bothSides" anchorx="text"/>
                <v:roundrect id="_x0000_s1032" style="position:absolute;left:0;top:0;width:826135;height:242570;" adj="3600">
                  <v:fill color="#FFFFFF" opacity="100.0%" type="solid"/>
                  <v:stroke filltype="solid" color="#3366FF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33" type="#_x0000_t202" style="position:absolute;left:56832;top:16599;width:712471;height:2093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Fonts w:ascii="Arial" w:hAnsi="Arial" w:hint="default"/>
                            <w:outline w:val="0"/>
                            <w:color w:val="3366ff"/>
                            <w:sz w:val="21"/>
                            <w:szCs w:val="21"/>
                            <w:u w:color="3366ff"/>
                            <w:rtl w:val="0"/>
                            <w:lang w:val="ru-RU"/>
                            <w14:textFill>
                              <w14:solidFill>
                                <w14:srgbClr w14:val="3366FF"/>
                              </w14:solidFill>
                            </w14:textFill>
                          </w:rPr>
                          <w:t>ССЫЛКИ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2247900</wp:posOffset>
            </wp:positionH>
            <wp:positionV relativeFrom="line">
              <wp:posOffset>4023359</wp:posOffset>
            </wp:positionV>
            <wp:extent cx="3924300" cy="189484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Безымянный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94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-690017</wp:posOffset>
                </wp:positionH>
                <wp:positionV relativeFrom="line">
                  <wp:posOffset>6694169</wp:posOffset>
                </wp:positionV>
                <wp:extent cx="6894375" cy="20002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375" cy="2000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ind w:firstLine="720"/>
                              <w:jc w:val="both"/>
                              <w:rPr>
                                <w:outline w:val="0"/>
                                <w:color w:val="000000"/>
                                <w:u w:color="000000"/>
                                <w:shd w:val="clear" w:color="auto" w:fill="ffffff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shd w:val="clear" w:color="auto" w:fill="ffffff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Обычный"/>
                              <w:jc w:val="both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Установлен положительный МПЭ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приводящий к уменьшению микротвердости 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51 %,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 этом пластические свойства сплава возрастают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2.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Методом рентгеноструктурного анализа было установлено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значения средних размеров блоков когерентного рассеяния при наложении ИМП всегда больше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чем в его отсутствие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 значения величин относительных микродеформаций и плотности дислокаций при наложении поля ниже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чем значения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полученные без него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Это свидетельствует о том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структура сплава при наложении ИМП становится менее искаженной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чем в его отсутствии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Обычный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3.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Методом рентгенофазового анализа обнаружено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что наложение ИМП приводит к увеличению интенсивности всех наблюдаемых линий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α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твердого раствора на основе алюминия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фазы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Mg</w:t>
                            </w:r>
                            <w:r>
                              <w:rPr>
                                <w:vertAlign w:val="subscript"/>
                                <w:rtl w:val="0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Si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 чистого кремния с элементами эвтектики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4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раз и уменьшению их полуширины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свидетельствует о формировании более совершенной и однородной структуры сплава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54.3pt;margin-top:527.1pt;width:542.9pt;height:157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ind w:firstLine="720"/>
                        <w:jc w:val="both"/>
                        <w:rPr>
                          <w:outline w:val="0"/>
                          <w:color w:val="000000"/>
                          <w:u w:color="000000"/>
                          <w:shd w:val="clear" w:color="auto" w:fill="ffffff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outline w:val="0"/>
                          <w:color w:val="000000"/>
                          <w:u w:color="000000"/>
                          <w:shd w:val="clear" w:color="auto" w:fill="ffffff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Обычный"/>
                        <w:jc w:val="both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1. </w:t>
                      </w:r>
                      <w:r>
                        <w:rPr>
                          <w:rtl w:val="0"/>
                          <w:lang w:val="ru-RU"/>
                        </w:rPr>
                        <w:t>Установлен положительный МПЭ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приводящий к уменьшению микротвердости до </w:t>
                      </w:r>
                      <w:r>
                        <w:rPr>
                          <w:rtl w:val="0"/>
                          <w:lang w:val="ru-RU"/>
                        </w:rPr>
                        <w:t xml:space="preserve">51 %, </w:t>
                      </w:r>
                      <w:r>
                        <w:rPr>
                          <w:rtl w:val="0"/>
                          <w:lang w:val="ru-RU"/>
                        </w:rPr>
                        <w:t>при этом пластические свойства сплава возрастают</w:t>
                      </w:r>
                      <w:r>
                        <w:rPr>
                          <w:rtl w:val="0"/>
                          <w:lang w:val="ru-RU"/>
                        </w:rPr>
                        <w:t xml:space="preserve">. 2. </w:t>
                      </w:r>
                      <w:r>
                        <w:rPr>
                          <w:rtl w:val="0"/>
                          <w:lang w:val="ru-RU"/>
                        </w:rPr>
                        <w:t>Методом рентгеноструктурного анализа было установлено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значения средних размеров блоков когерентного рассеяния при наложении ИМП всегда больше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чем в его отсутствие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а значения величин относительных микродеформаций и плотности дислокаций при наложении поля ниже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чем значения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полученные без него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Это свидетельствует о том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структура сплава при наложении ИМП становится менее искаженной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чем в его отсутствии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</w:p>
                    <w:p>
                      <w:pPr>
                        <w:pStyle w:val="Обычный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3. </w:t>
                      </w:r>
                      <w:r>
                        <w:rPr>
                          <w:rtl w:val="0"/>
                          <w:lang w:val="ru-RU"/>
                        </w:rPr>
                        <w:t>Методом рентгенофазового анализа обнаружено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что наложение ИМП приводит к увеличению интенсивности всех наблюдаемых линий </w:t>
                      </w:r>
                      <w:r>
                        <w:rPr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tl w:val="0"/>
                          <w:lang w:val="ru-RU"/>
                        </w:rPr>
                        <w:t>α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твердого раствора на основе алюминия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фазы </w:t>
                      </w:r>
                      <w:r>
                        <w:rPr>
                          <w:rtl w:val="0"/>
                          <w:lang w:val="ru-RU"/>
                        </w:rPr>
                        <w:t>Mg</w:t>
                      </w:r>
                      <w:r>
                        <w:rPr>
                          <w:vertAlign w:val="subscript"/>
                          <w:rtl w:val="0"/>
                          <w:lang w:val="ru-RU"/>
                        </w:rPr>
                        <w:t>2</w:t>
                      </w:r>
                      <w:r>
                        <w:rPr>
                          <w:rtl w:val="0"/>
                          <w:lang w:val="ru-RU"/>
                        </w:rPr>
                        <w:t xml:space="preserve">Si </w:t>
                      </w:r>
                      <w:r>
                        <w:rPr>
                          <w:rtl w:val="0"/>
                          <w:lang w:val="ru-RU"/>
                        </w:rPr>
                        <w:t>и чистого кремния с элементами эвтектики</w:t>
                      </w:r>
                      <w:r>
                        <w:rPr>
                          <w:rtl w:val="0"/>
                          <w:lang w:val="ru-RU"/>
                        </w:rPr>
                        <w:t xml:space="preserve">) </w:t>
                      </w:r>
                      <w:r>
                        <w:rPr>
                          <w:rtl w:val="0"/>
                          <w:lang w:val="ru-RU"/>
                        </w:rPr>
                        <w:t xml:space="preserve">до </w:t>
                      </w:r>
                      <w:r>
                        <w:rPr>
                          <w:rtl w:val="0"/>
                          <w:lang w:val="ru-RU"/>
                        </w:rPr>
                        <w:t xml:space="preserve">4 </w:t>
                      </w:r>
                      <w:r>
                        <w:rPr>
                          <w:rtl w:val="0"/>
                          <w:lang w:val="ru-RU"/>
                        </w:rPr>
                        <w:t>раз и уменьшению их полуширины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свидетельствует о формировании более совершенной и однородной структуры сплава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-302667</wp:posOffset>
                </wp:positionH>
                <wp:positionV relativeFrom="line">
                  <wp:posOffset>6004559</wp:posOffset>
                </wp:positionV>
                <wp:extent cx="2257605" cy="4000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05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Зависимость микротвердости сплава АК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9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от частоты ИМП</w:t>
                            </w:r>
                            <w:r/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от времени старения</w:t>
                            </w:r>
                            <w:r>
                              <w:rPr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23.8pt;margin-top:472.8pt;width:177.8pt;height:31.5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Зависимость микротвердости сплава АК</w:t>
                      </w:r>
                      <w:r>
                        <w:rPr>
                          <w:rtl w:val="0"/>
                          <w:lang w:val="ru-RU"/>
                        </w:rPr>
                        <w:t xml:space="preserve">9 </w:t>
                      </w:r>
                      <w:r>
                        <w:rPr>
                          <w:rtl w:val="0"/>
                          <w:lang w:val="ru-RU"/>
                        </w:rPr>
                        <w:t>от частоты ИМП</w:t>
                      </w:r>
                      <w:r/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от времени старения</w:t>
                      </w:r>
                      <w:r>
                        <w:rPr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2655162</wp:posOffset>
                </wp:positionH>
                <wp:positionV relativeFrom="line">
                  <wp:posOffset>6004559</wp:posOffset>
                </wp:positionV>
                <wp:extent cx="3476805" cy="5524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805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Дифрактограммы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снятые с закаленного и </w:t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отожженного в ИМП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=175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°С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=4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=7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кЭ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=3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Гц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,)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образцов АК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09.1pt;margin-top:472.8pt;width:273.8pt;height:43.5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Дифрактограммы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снятые с закаленного и </w:t>
                      </w:r>
                    </w:p>
                    <w:p>
                      <w:pPr>
                        <w:pStyle w:val="Обычный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отожженного в ИМП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=175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°С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=4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ч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=7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кЭ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=3 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Гц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 xml:space="preserve">,) 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образцов АК</w:t>
                      </w: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line">
                  <wp:posOffset>6694169</wp:posOffset>
                </wp:positionV>
                <wp:extent cx="826136" cy="24193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6" cy="241935"/>
                          <a:chOff x="0" y="0"/>
                          <a:chExt cx="826135" cy="241934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826136" cy="24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366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56801" y="16568"/>
                            <a:ext cx="712533" cy="2087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Fonts w:ascii="Arial" w:hAnsi="Arial" w:hint="default"/>
                                  <w:outline w:val="0"/>
                                  <w:color w:val="3366ff"/>
                                  <w:sz w:val="21"/>
                                  <w:szCs w:val="21"/>
                                  <w:u w:color="3366ff"/>
                                  <w:rtl w:val="0"/>
                                  <w:lang w:val="ru-RU"/>
                                  <w14:textFill>
                                    <w14:solidFill>
                                      <w14:srgbClr w14:val="3366FF"/>
                                    </w14:solidFill>
                                  </w14:textFill>
                                </w:rPr>
                                <w:t>ВЫВОДЫ</w:t>
                              </w:r>
                            </w:p>
                          </w:txbxContent>
                        </wps:txbx>
                        <wps:bodyPr wrap="square" lIns="40233" tIns="40233" rIns="40233" bIns="4023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-40.8pt;margin-top:527.1pt;width:65.1pt;height:19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826135,241935">
                <w10:wrap type="none" side="bothSides" anchorx="text"/>
                <v:roundrect id="_x0000_s1038" style="position:absolute;left:0;top:0;width:826135;height:241935;" adj="3600">
                  <v:fill color="#FFFFFF" opacity="100.0%" type="solid"/>
                  <v:stroke filltype="solid" color="#3366FF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39" type="#_x0000_t202" style="position:absolute;left:56801;top:16568;width:712533;height:2087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Fonts w:ascii="Arial" w:hAnsi="Arial" w:hint="default"/>
                            <w:outline w:val="0"/>
                            <w:color w:val="3366ff"/>
                            <w:sz w:val="21"/>
                            <w:szCs w:val="21"/>
                            <w:u w:color="3366ff"/>
                            <w:rtl w:val="0"/>
                            <w:lang w:val="ru-RU"/>
                            <w14:textFill>
                              <w14:solidFill>
                                <w14:srgbClr w14:val="3366FF"/>
                              </w14:solidFill>
                            </w14:textFill>
                          </w:rPr>
                          <w:t>ВЫВОДЫ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-666750</wp:posOffset>
            </wp:positionH>
            <wp:positionV relativeFrom="line">
              <wp:posOffset>3975734</wp:posOffset>
            </wp:positionV>
            <wp:extent cx="2966086" cy="1942465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6" cy="1942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2554833</wp:posOffset>
                </wp:positionH>
                <wp:positionV relativeFrom="line">
                  <wp:posOffset>2057400</wp:posOffset>
                </wp:positionV>
                <wp:extent cx="3577134" cy="16764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4" cy="167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widowControl w:val="0"/>
                              <w:jc w:val="both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Закалка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выдержка при температуре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535</w:t>
                            </w:r>
                            <w:r>
                              <w:rPr>
                                <w:rFonts w:ascii="Symbol" w:hAnsi="Symbol" w:hint="default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±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5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º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в течение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ч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быстрое погружение в воду при температуре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Symbol" w:hAnsi="Symbol" w:hint="default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±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0.5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º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Старение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температура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175.0</w:t>
                            </w:r>
                            <w:r>
                              <w:rPr>
                                <w:rFonts w:ascii="Symbol" w:hAnsi="Symbol" w:hint="default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±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0.5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º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в вакуумной камере при давлении остаточных паров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vertAlign w:val="superscript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-3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Па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при времени старения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4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ч в ИМП</w:t>
                            </w:r>
                            <w:r>
                              <w:rPr>
                                <w:outline w:val="0"/>
                                <w:color w:val="0000ff"/>
                                <w:u w:color="0000ff"/>
                                <w:rtl w:val="0"/>
                                <w:lang w:val="ru-RU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 амплитудой</w:t>
                            </w:r>
                            <w:r>
                              <w:rPr>
                                <w:outline w:val="0"/>
                                <w:color w:val="0000ff"/>
                                <w:u w:color="0000ff"/>
                                <w:rtl w:val="0"/>
                                <w:lang w:val="ru-RU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напряженности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7.0</w:t>
                            </w:r>
                            <w:r>
                              <w:rPr>
                                <w:rFonts w:ascii="Symbol" w:hAnsi="Symbol" w:hint="default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±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0.1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кЭ и частотой от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до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7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Гц и без наложения поля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01.2pt;margin-top:162.0pt;width:281.7pt;height:132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widowControl w:val="0"/>
                        <w:jc w:val="both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Закалка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выдержка при температуре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535</w:t>
                      </w:r>
                      <w:r>
                        <w:rPr>
                          <w:rFonts w:ascii="Symbol" w:hAnsi="Symbol" w:hint="default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±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5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º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в течение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2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ч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быстрое погружение в воду при температуре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Symbol" w:hAnsi="Symbol" w:hint="default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±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0.5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º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Старение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температура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175.0</w:t>
                      </w:r>
                      <w:r>
                        <w:rPr>
                          <w:rFonts w:ascii="Symbol" w:hAnsi="Symbol" w:hint="default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±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0.5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º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в вакуумной камере при давлении остаточных паров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outline w:val="0"/>
                          <w:color w:val="000000"/>
                          <w:u w:color="000000"/>
                          <w:vertAlign w:val="superscript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-3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Па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при времени старения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4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ч в ИМП</w:t>
                      </w:r>
                      <w:r>
                        <w:rPr>
                          <w:outline w:val="0"/>
                          <w:color w:val="0000ff"/>
                          <w:u w:color="0000ff"/>
                          <w:rtl w:val="0"/>
                          <w:lang w:val="ru-RU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tl w:val="0"/>
                          <w:lang w:val="ru-RU"/>
                        </w:rPr>
                        <w:t>с амплитудой</w:t>
                      </w:r>
                      <w:r>
                        <w:rPr>
                          <w:outline w:val="0"/>
                          <w:color w:val="0000ff"/>
                          <w:u w:color="0000ff"/>
                          <w:rtl w:val="0"/>
                          <w:lang w:val="ru-RU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напряженности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7.0</w:t>
                      </w:r>
                      <w:r>
                        <w:rPr>
                          <w:rFonts w:ascii="Symbol" w:hAnsi="Symbol" w:hint="default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±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0.1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кЭ и частотой от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до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7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Гц и без наложения поля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line">
                  <wp:posOffset>1816735</wp:posOffset>
                </wp:positionV>
                <wp:extent cx="1214756" cy="240666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756" cy="240666"/>
                          <a:chOff x="0" y="0"/>
                          <a:chExt cx="1214755" cy="240665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214756" cy="240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366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 txBox="1"/>
                        <wps:spPr>
                          <a:xfrm>
                            <a:off x="56739" y="16506"/>
                            <a:ext cx="1101277" cy="207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Fonts w:ascii="Arial" w:hAnsi="Arial" w:hint="default"/>
                                  <w:outline w:val="0"/>
                                  <w:color w:val="3366ff"/>
                                  <w:sz w:val="21"/>
                                  <w:szCs w:val="21"/>
                                  <w:u w:color="3366ff"/>
                                  <w:rtl w:val="0"/>
                                  <w:lang w:val="ru-RU"/>
                                  <w14:textFill>
                                    <w14:solidFill>
                                      <w14:srgbClr w14:val="3366FF"/>
                                    </w14:solidFill>
                                  </w14:textFill>
                                </w:rPr>
                                <w:t>ЭКСПЕРИМЕНТ</w:t>
                              </w:r>
                            </w:p>
                          </w:txbxContent>
                        </wps:txbx>
                        <wps:bodyPr wrap="square" lIns="40233" tIns="40233" rIns="40233" bIns="4023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211.5pt;margin-top:143.1pt;width:95.7pt;height:19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14755,240665">
                <w10:wrap type="none" side="bothSides" anchorx="text"/>
                <v:roundrect id="_x0000_s1042" style="position:absolute;left:0;top:0;width:1214755;height:240665;" adj="3600">
                  <v:fill color="#FFFFFF" opacity="100.0%" type="solid"/>
                  <v:stroke filltype="solid" color="#3366FF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43" type="#_x0000_t202" style="position:absolute;left:56739;top:16506;width:1101277;height:2076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Fonts w:ascii="Arial" w:hAnsi="Arial" w:hint="default"/>
                            <w:outline w:val="0"/>
                            <w:color w:val="3366ff"/>
                            <w:sz w:val="21"/>
                            <w:szCs w:val="21"/>
                            <w:u w:color="3366ff"/>
                            <w:rtl w:val="0"/>
                            <w:lang w:val="ru-RU"/>
                            <w14:textFill>
                              <w14:solidFill>
                                <w14:srgbClr w14:val="3366FF"/>
                              </w14:solidFill>
                            </w14:textFill>
                          </w:rPr>
                          <w:t>ЭКСПЕРИМЕНТ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914400</wp:posOffset>
                </wp:positionV>
                <wp:extent cx="3720466" cy="79438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6" cy="794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99CC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4" style="visibility:visible;position:absolute;margin-left:0.0pt;margin-top:0.0pt;width:293.0pt;height:6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99CCFF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2554833</wp:posOffset>
                </wp:positionH>
                <wp:positionV relativeFrom="line">
                  <wp:posOffset>914400</wp:posOffset>
                </wp:positionV>
                <wp:extent cx="3649525" cy="86106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525" cy="861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jc w:val="both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    Изучение влияния частоты ИМП на процесс фазообразования в алюминиевом сплаве АК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 (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состав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вес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%: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основа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-9,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Cu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-1,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Fe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-1.3)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при старении в течение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4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ч и температуре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175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°С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01.2pt;margin-top:72.0pt;width:287.4pt;height:67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jc w:val="both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    Изучение влияния частоты ИМП на процесс фазообразования в алюминиевом сплаве АК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 (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состав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вес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%: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основа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Si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-9,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Cu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-1,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Fe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-1.3)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при старении в течение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4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ч и температуре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175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°С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-787400</wp:posOffset>
            </wp:positionH>
            <wp:positionV relativeFrom="line">
              <wp:posOffset>-596265</wp:posOffset>
            </wp:positionV>
            <wp:extent cx="1019175" cy="590550"/>
            <wp:effectExtent l="0" t="0" r="0" b="0"/>
            <wp:wrapSquare wrapText="bothSides" distL="57150" distR="57150" distT="57150" distB="5715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су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line">
                  <wp:posOffset>800100</wp:posOffset>
                </wp:positionV>
                <wp:extent cx="3233421" cy="27432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1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99CC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254.6pt;height:216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99CCFF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-759866</wp:posOffset>
                </wp:positionH>
                <wp:positionV relativeFrom="line">
                  <wp:posOffset>914400</wp:posOffset>
                </wp:positionV>
                <wp:extent cx="3119934" cy="26289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934" cy="262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В работе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[1,2]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установлено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что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импульсное магнитное поле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ИМП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изменяет структуру и размер фаз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которые в значительной мере тормозят движение дислокаций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и определяет увеличение прочностных свойств сплавов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Одной из причин влияния ИМП на микротвердость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является магнитное и структурное упорядочение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возникающее в матрице и фазах выделения сплава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Актуальным и практически важным является проверка этого предполагаемого механизма влияния ИМП на свойства и структуру других сплавов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 частности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 алюминиевом сплаве            АК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59.8pt;margin-top:72.0pt;width:245.7pt;height:207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В работе </w:t>
                      </w:r>
                      <w:r>
                        <w:rPr>
                          <w:rtl w:val="0"/>
                          <w:lang w:val="ru-RU"/>
                        </w:rPr>
                        <w:t xml:space="preserve">[1,2] </w:t>
                      </w:r>
                      <w:r>
                        <w:rPr>
                          <w:rtl w:val="0"/>
                          <w:lang w:val="ru-RU"/>
                        </w:rPr>
                        <w:t>установлено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что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импульсное магнитное поле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tl w:val="0"/>
                          <w:lang w:val="ru-RU"/>
                        </w:rPr>
                        <w:t>ИМП</w:t>
                      </w:r>
                      <w:r>
                        <w:rPr>
                          <w:rtl w:val="0"/>
                          <w:lang w:val="ru-RU"/>
                        </w:rPr>
                        <w:t xml:space="preserve">) </w:t>
                      </w:r>
                      <w:r>
                        <w:rPr>
                          <w:rtl w:val="0"/>
                          <w:lang w:val="ru-RU"/>
                        </w:rPr>
                        <w:t>изменяет структуру и размер фаз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которые в значительной мере тормозят движение дислокаций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и определяет увеличение прочностных свойств сплавов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Одной из причин влияния ИМП на микротвердость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является магнитное и структурное упорядочение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возникающее в матрице и фазах выделения сплава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Актуальным и практически важным является проверка этого предполагаемого механизма влияния ИМП на свойства и структуру других сплавов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 частности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 алюминиевом сплаве            АК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661034</wp:posOffset>
                </wp:positionV>
                <wp:extent cx="930275" cy="253366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275" cy="253366"/>
                          <a:chOff x="0" y="0"/>
                          <a:chExt cx="930275" cy="253365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930275" cy="2533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366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 txBox="1"/>
                        <wps:spPr>
                          <a:xfrm>
                            <a:off x="57358" y="17125"/>
                            <a:ext cx="815559" cy="2191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Fonts w:ascii="Arial" w:hAnsi="Arial" w:hint="default"/>
                                  <w:outline w:val="0"/>
                                  <w:color w:val="3366ff"/>
                                  <w:sz w:val="21"/>
                                  <w:szCs w:val="21"/>
                                  <w:u w:color="3366ff"/>
                                  <w:rtl w:val="0"/>
                                  <w:lang w:val="ru-RU"/>
                                  <w14:textFill>
                                    <w14:solidFill>
                                      <w14:srgbClr w14:val="3366FF"/>
                                    </w14:solidFill>
                                  </w14:textFill>
                                </w:rPr>
                                <w:t>ВВЕДЕНИЕ</w:t>
                              </w:r>
                            </w:p>
                          </w:txbxContent>
                        </wps:txbx>
                        <wps:bodyPr wrap="square" lIns="40233" tIns="40233" rIns="40233" bIns="4023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-36.0pt;margin-top:52.0pt;width:73.2pt;height:2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30275,253365">
                <w10:wrap type="none" side="bothSides" anchorx="text"/>
                <v:roundrect id="_x0000_s1049" style="position:absolute;left:0;top:0;width:930275;height:253365;" adj="3600">
                  <v:fill color="#FFFFFF" opacity="100.0%" type="solid"/>
                  <v:stroke filltype="solid" color="#3366FF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50" type="#_x0000_t202" style="position:absolute;left:57359;top:17126;width:815557;height:2191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Fonts w:ascii="Arial" w:hAnsi="Arial" w:hint="default"/>
                            <w:outline w:val="0"/>
                            <w:color w:val="3366ff"/>
                            <w:sz w:val="21"/>
                            <w:szCs w:val="21"/>
                            <w:u w:color="3366ff"/>
                            <w:rtl w:val="0"/>
                            <w:lang w:val="ru-RU"/>
                            <w14:textFill>
                              <w14:solidFill>
                                <w14:srgbClr w14:val="3366FF"/>
                              </w14:solidFill>
                            </w14:textFill>
                          </w:rPr>
                          <w:t>ВВЕДЕНИЕ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3657600</wp:posOffset>
                </wp:positionV>
                <wp:extent cx="1097281" cy="24384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1" cy="243841"/>
                          <a:chOff x="0" y="0"/>
                          <a:chExt cx="1097280" cy="243840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1097281" cy="2438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366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 txBox="1"/>
                        <wps:spPr>
                          <a:xfrm>
                            <a:off x="56893" y="16660"/>
                            <a:ext cx="983493" cy="210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Fonts w:ascii="Arial" w:hAnsi="Arial" w:hint="default"/>
                                  <w:outline w:val="0"/>
                                  <w:color w:val="3366ff"/>
                                  <w:sz w:val="21"/>
                                  <w:szCs w:val="21"/>
                                  <w:u w:color="3366ff"/>
                                  <w:rtl w:val="0"/>
                                  <w:lang w:val="ru-RU"/>
                                  <w14:textFill>
                                    <w14:solidFill>
                                      <w14:srgbClr w14:val="3366FF"/>
                                    </w14:solidFill>
                                  </w14:textFill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wrap="square" lIns="40233" tIns="40233" rIns="40233" bIns="4023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-36.0pt;margin-top:288.0pt;width:86.4pt;height:19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97280,243840">
                <w10:wrap type="none" side="bothSides" anchorx="text"/>
                <v:roundrect id="_x0000_s1052" style="position:absolute;left:0;top:0;width:1097280;height:243840;" adj="3600">
                  <v:fill color="#FFFFFF" opacity="100.0%" type="solid"/>
                  <v:stroke filltype="solid" color="#3366FF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53" type="#_x0000_t202" style="position:absolute;left:56894;top:16661;width:983492;height:2105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Fonts w:ascii="Arial" w:hAnsi="Arial" w:hint="default"/>
                            <w:outline w:val="0"/>
                            <w:color w:val="3366ff"/>
                            <w:sz w:val="21"/>
                            <w:szCs w:val="21"/>
                            <w:u w:color="3366ff"/>
                            <w:rtl w:val="0"/>
                            <w:lang w:val="ru-RU"/>
                            <w14:textFill>
                              <w14:solidFill>
                                <w14:srgbClr w14:val="3366FF"/>
                              </w14:solidFill>
                            </w14:textFill>
                          </w:rPr>
                          <w:t>РЕЗУЛЬТАТЫ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40232</wp:posOffset>
                </wp:positionH>
                <wp:positionV relativeFrom="line">
                  <wp:posOffset>-491490</wp:posOffset>
                </wp:positionV>
                <wp:extent cx="6091735" cy="129159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735" cy="1291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ВЛИЯНИЕ ПОСТОЯННОГО МАГНИТНОГО ПОЛЯ </w:t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НА ПРОЦЕСС ФАЗООБРАЗОВАНИЯ В </w:t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СОСТАРЕННОМ АЛЮМИНИЕВОМ СПЛАВЕ АК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Осинская Ю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.,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Покоев А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.,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Магамедова С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Обычный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Самарский национальный исследовательский университет им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академика С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П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Королева</w:t>
                            </w:r>
                          </w:p>
                        </w:txbxContent>
                      </wps:txbx>
                      <wps:bodyPr wrap="square" lIns="40233" tIns="40233" rIns="40233" bIns="4023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.2pt;margin-top:-38.7pt;width:479.7pt;height:101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ВЛИЯНИЕ ПОСТОЯННОГО МАГНИТНОГО ПОЛЯ </w:t>
                      </w:r>
                    </w:p>
                    <w:p>
                      <w:pPr>
                        <w:pStyle w:val="Обычный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 xml:space="preserve">НА ПРОЦЕСС ФАЗООБРАЗОВАНИЯ В </w:t>
                      </w:r>
                    </w:p>
                    <w:p>
                      <w:pPr>
                        <w:pStyle w:val="Обычный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СОСТАРЕННОМ АЛЮМИНИЕВОМ СПЛАВЕ АК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ru-RU"/>
                        </w:rPr>
                        <w:t>9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Обычный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Обычный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Осинская Ю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.,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Покоев А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В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.,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Магамедова С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Г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Обычный"/>
                        <w:jc w:val="center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Самарский национальный исследовательский университет им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академика С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П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Королева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line">
                  <wp:posOffset>787870</wp:posOffset>
                </wp:positionV>
                <wp:extent cx="608569" cy="27782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69" cy="277825"/>
                          <a:chOff x="0" y="0"/>
                          <a:chExt cx="608568" cy="277824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0" y="0"/>
                            <a:ext cx="608569" cy="277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3366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 txBox="1"/>
                        <wps:spPr>
                          <a:xfrm>
                            <a:off x="62896" y="18779"/>
                            <a:ext cx="482776" cy="2402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Fonts w:ascii="Arial" w:hAnsi="Arial" w:hint="default"/>
                                  <w:outline w:val="0"/>
                                  <w:color w:val="3366ff"/>
                                  <w:sz w:val="21"/>
                                  <w:szCs w:val="21"/>
                                  <w:u w:color="3366ff"/>
                                  <w:rtl w:val="0"/>
                                  <w:lang w:val="ru-RU"/>
                                  <w14:textFill>
                                    <w14:solidFill>
                                      <w14:srgbClr w14:val="3366FF"/>
                                    </w14:solidFill>
                                  </w14:textFill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wrap="square" lIns="40233" tIns="40233" rIns="40233" bIns="4023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216.0pt;margin-top:62.0pt;width:47.9pt;height:21.9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08568,277825">
                <w10:wrap type="none" side="bothSides" anchorx="margin"/>
                <v:roundrect id="_x0000_s1056" style="position:absolute;left:0;top:0;width:608568;height:277825;" adj="3600">
                  <v:fill color="#FFFFFF" opacity="100.0%" type="solid"/>
                  <v:stroke filltype="solid" color="#3366FF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57" type="#_x0000_t202" style="position:absolute;left:62896;top:18779;width:482776;height:24026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Fonts w:ascii="Arial" w:hAnsi="Arial" w:hint="default"/>
                            <w:outline w:val="0"/>
                            <w:color w:val="3366ff"/>
                            <w:sz w:val="21"/>
                            <w:szCs w:val="21"/>
                            <w:u w:color="3366ff"/>
                            <w:rtl w:val="0"/>
                            <w:lang w:val="ru-RU"/>
                            <w14:textFill>
                              <w14:solidFill>
                                <w14:srgbClr w14:val="3366FF"/>
                              </w14:solidFill>
                            </w14:textFill>
                          </w:rPr>
                          <w:t>ЦЕЛЬ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7"/>
      <w:footerReference w:type="default" r:id="rId8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